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BA4B" w14:textId="3B3D2451" w:rsidR="006E1189" w:rsidRDefault="00727C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2B9A" w:rsidRPr="00C92B9A">
        <w:rPr>
          <w:rFonts w:ascii="Corbel" w:hAnsi="Corbel"/>
          <w:bCs/>
          <w:i/>
        </w:rPr>
        <w:t>Załącznik nr 1.5 do Zarządzenia Rektora UR nr 7/2023</w:t>
      </w: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74F179EE" w:rsidR="006E1189" w:rsidRPr="002A50C3" w:rsidRDefault="00727C62" w:rsidP="002A50C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1D3A">
        <w:rPr>
          <w:rFonts w:ascii="Corbel" w:hAnsi="Corbel"/>
          <w:b/>
          <w:i/>
          <w:smallCaps/>
          <w:sz w:val="24"/>
          <w:szCs w:val="24"/>
        </w:rPr>
        <w:t>202</w:t>
      </w:r>
      <w:r w:rsidR="00C92B9A">
        <w:rPr>
          <w:rFonts w:ascii="Corbel" w:hAnsi="Corbel"/>
          <w:b/>
          <w:i/>
          <w:smallCaps/>
          <w:sz w:val="24"/>
          <w:szCs w:val="24"/>
        </w:rPr>
        <w:t>3</w:t>
      </w:r>
      <w:r w:rsidR="00DE1D3A">
        <w:rPr>
          <w:rFonts w:ascii="Corbel" w:hAnsi="Corbel"/>
          <w:b/>
          <w:i/>
          <w:smallCaps/>
          <w:sz w:val="24"/>
          <w:szCs w:val="24"/>
        </w:rPr>
        <w:t>-202</w:t>
      </w:r>
      <w:r w:rsidR="00C92B9A">
        <w:rPr>
          <w:rFonts w:ascii="Corbel" w:hAnsi="Corbel"/>
          <w:b/>
          <w:i/>
          <w:smallCaps/>
          <w:sz w:val="24"/>
          <w:szCs w:val="24"/>
        </w:rPr>
        <w:t>8</w:t>
      </w:r>
    </w:p>
    <w:p w14:paraId="3CD48545" w14:textId="76C8ECD3" w:rsidR="006E1189" w:rsidRPr="00240D76" w:rsidRDefault="009260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(skrajne daty)</w:t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  <w:t xml:space="preserve">Rok akademicki </w:t>
      </w:r>
      <w:r w:rsidR="00262AA4">
        <w:rPr>
          <w:rFonts w:ascii="Corbel" w:hAnsi="Corbel"/>
          <w:sz w:val="20"/>
          <w:szCs w:val="20"/>
        </w:rPr>
        <w:t>202</w:t>
      </w:r>
      <w:r w:rsidR="00E51A6E">
        <w:rPr>
          <w:rFonts w:ascii="Corbel" w:hAnsi="Corbel"/>
          <w:sz w:val="20"/>
          <w:szCs w:val="20"/>
        </w:rPr>
        <w:t>6</w:t>
      </w:r>
      <w:r w:rsidR="00DE1D3A">
        <w:rPr>
          <w:rFonts w:ascii="Corbel" w:hAnsi="Corbel"/>
          <w:sz w:val="20"/>
          <w:szCs w:val="20"/>
        </w:rPr>
        <w:t>/202</w:t>
      </w:r>
      <w:r w:rsidR="00E51A6E">
        <w:rPr>
          <w:rFonts w:ascii="Corbel" w:hAnsi="Corbel"/>
          <w:sz w:val="20"/>
          <w:szCs w:val="20"/>
        </w:rPr>
        <w:t>7</w:t>
      </w:r>
    </w:p>
    <w:p w14:paraId="40098DAB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926037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037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0F77462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713731D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</w:t>
            </w:r>
            <w:r w:rsidR="002B5ED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/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77777777" w:rsidR="006E1189" w:rsidRDefault="00727C62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92603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92603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5266" w14:textId="2F29F5B3" w:rsidR="006E1189" w:rsidRDefault="00DB5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88EC80" w:rsidR="006E1189" w:rsidRDefault="006E1189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5340037A" w:rsidR="006E1189" w:rsidRDefault="00E91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05C9BC13" w:rsidR="006E1189" w:rsidRDefault="00DB54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655D3D3F" w:rsidR="006E1189" w:rsidRDefault="007767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="00DB5406">
        <w:rPr>
          <w:rFonts w:ascii="MS Gothic" w:eastAsia="MS Gothic" w:hAnsi="MS Gothic" w:cs="MS Gothic"/>
          <w:bCs/>
          <w:szCs w:val="24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926037">
        <w:rPr>
          <w:rFonts w:ascii="Corbel" w:hAnsi="Corbel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395F52B7" w:rsidR="006E1189" w:rsidRDefault="00926037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5B105618" w14:textId="29332218" w:rsidR="006E1189" w:rsidRDefault="00E9138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1CC3C7CA" w14:textId="18F4FB31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54FEF" w14:textId="28E84217" w:rsidR="00926037" w:rsidRDefault="009260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300A6196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E9561" w14:textId="77777777" w:rsidR="00926037" w:rsidRDefault="0092603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0FFF0FAB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08C0FA" w14:textId="35E016F4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B092B" w14:paraId="35BCBB5D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2561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E802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729D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092B" w14:paraId="6507EA4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CBFD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79761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580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K_W01, K_W06, K_W07, K_W09, K_W10, </w:t>
            </w:r>
          </w:p>
        </w:tc>
      </w:tr>
      <w:tr w:rsidR="00EB092B" w14:paraId="78E0B22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0CB0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AC1E9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DD8CB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03A2B2B9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3AF27EB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K_W12</w:t>
            </w:r>
          </w:p>
          <w:p w14:paraId="419B2B80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B092B" w14:paraId="547B077B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73A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BB97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4553E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876E6A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B092B" w14:paraId="69EB108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D4B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8B47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 – wie jak i gdzie je zastosować.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2D5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EB092B" w14:paraId="09C8676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3EDE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C875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4E3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K_U01, K_U04, </w:t>
            </w:r>
            <w:r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EB092B" w14:paraId="5B5E357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3E54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F0512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533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B092B" w14:paraId="4FDA1887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739E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53AEC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27B6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B092B" w14:paraId="09FDE46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E1B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E7D3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 wypowiada się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41E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EB092B" w14:paraId="14885D4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7029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CD68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F31C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K_U09, K_U12, K_U13</w:t>
            </w:r>
          </w:p>
          <w:p w14:paraId="2C5D5B68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EB092B" w14:paraId="5102DE7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44FC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495F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75298279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484D" w14:textId="77777777" w:rsidR="00EB092B" w:rsidRDefault="00EB092B" w:rsidP="00C605B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K_U15, K_U17 </w:t>
            </w:r>
          </w:p>
          <w:p w14:paraId="3205A4F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D9750C9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B092B" w14:paraId="55633585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BAC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CF7E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teoretyczną, praktyczną, etyczną w pracy urzędniczej w różnych podmiotach, organach i instytucjach administracji publicznej.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F53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14:paraId="7E45C353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EB092B" w14:paraId="1DE1A54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1E9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3038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02319204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 zmianami prawa.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435F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K_W13, K_K06, </w:t>
            </w:r>
          </w:p>
          <w:p w14:paraId="25147BE4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EB092B" w14:paraId="2F23235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919F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7221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2F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70DD6A33" w14:textId="77777777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7777777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06FAF626" w:rsidR="006E1189" w:rsidRDefault="00727C6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 multimedialną, analiza przypadków, dyskusja</w:t>
      </w:r>
    </w:p>
    <w:p w14:paraId="0E59D92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2D686549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60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316A221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669EA501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926037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007C156A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5AB172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28E04B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4C38C9CF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3B520B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3860285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7150AF8C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1BEB10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926037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09F9C68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D0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6E118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3216F4E0" w:rsidR="006E1189" w:rsidRDefault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7F5CBA" w14:paraId="3162B70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851F" w14:textId="1417F255" w:rsidR="007F5CBA" w:rsidRDefault="007F5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CBA">
              <w:rPr>
                <w:rFonts w:ascii="Corbel" w:hAnsi="Corbel"/>
                <w:b w:val="0"/>
                <w:szCs w:val="24"/>
              </w:rPr>
              <w:t>EK_ 1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E4DB" w14:textId="426CE08D" w:rsidR="007F5CBA" w:rsidRDefault="007F5CBA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834B" w14:textId="2E7AE62D" w:rsidR="007F5CBA" w:rsidRDefault="007F5C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6EE70A5A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3EE65BC7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23B1837C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E1189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0B940750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41BB5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653ED" w14:textId="77777777" w:rsidR="00926037" w:rsidRDefault="00926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817AFF" w14:textId="6FFEF7B4" w:rsidR="006E1189" w:rsidRDefault="009041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27C6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14:paraId="0957B118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419DCD4D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E1189" w14:paraId="613E1E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6B9B9C1B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4BC0A893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0FF77A" w14:textId="77777777" w:rsidR="00926037" w:rsidRPr="00926037" w:rsidRDefault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5EF1562" w14:textId="69E0D5BA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0BE61792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343179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5F493708" w14:textId="77777777" w:rsidR="006E1189" w:rsidRPr="001D7ABF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5078F237" w:rsidR="001D7ABF" w:rsidRDefault="001D7AB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K. Kędzierski, E. Kubas, Prawo administracyjne, testy, kazusy, pytania sprawdzające, Warszawa 2022.</w:t>
            </w:r>
          </w:p>
        </w:tc>
      </w:tr>
      <w:tr w:rsidR="006E1189" w14:paraId="4CF412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557D" w14:textId="65E36A77" w:rsidR="00E91382" w:rsidRPr="00926037" w:rsidRDefault="00727C62" w:rsidP="00E913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42D81" w14:textId="77777777" w:rsidR="008E3941" w:rsidRDefault="008E3941">
      <w:pPr>
        <w:spacing w:after="0" w:line="240" w:lineRule="auto"/>
      </w:pPr>
      <w:r>
        <w:separator/>
      </w:r>
    </w:p>
  </w:endnote>
  <w:endnote w:type="continuationSeparator" w:id="0">
    <w:p w14:paraId="719C8971" w14:textId="77777777" w:rsidR="008E3941" w:rsidRDefault="008E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12198" w14:textId="77777777" w:rsidR="008E3941" w:rsidRDefault="008E3941">
      <w:r>
        <w:separator/>
      </w:r>
    </w:p>
  </w:footnote>
  <w:footnote w:type="continuationSeparator" w:id="0">
    <w:p w14:paraId="6FC7B217" w14:textId="77777777" w:rsidR="008E3941" w:rsidRDefault="008E3941">
      <w:r>
        <w:continuationSeparator/>
      </w:r>
    </w:p>
  </w:footnote>
  <w:footnote w:id="1">
    <w:p w14:paraId="720F1A2A" w14:textId="77777777" w:rsidR="00EB092B" w:rsidRDefault="00EB092B" w:rsidP="00EB092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55040142">
    <w:abstractNumId w:val="0"/>
  </w:num>
  <w:num w:numId="2" w16cid:durableId="763959205">
    <w:abstractNumId w:val="3"/>
  </w:num>
  <w:num w:numId="3" w16cid:durableId="395008866">
    <w:abstractNumId w:val="2"/>
  </w:num>
  <w:num w:numId="4" w16cid:durableId="867597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23E0A"/>
    <w:rsid w:val="00060DBF"/>
    <w:rsid w:val="00071D03"/>
    <w:rsid w:val="00076783"/>
    <w:rsid w:val="001B615D"/>
    <w:rsid w:val="001D7ABF"/>
    <w:rsid w:val="001F529D"/>
    <w:rsid w:val="00240D76"/>
    <w:rsid w:val="00262AA4"/>
    <w:rsid w:val="002A50C3"/>
    <w:rsid w:val="002B5ED5"/>
    <w:rsid w:val="00343179"/>
    <w:rsid w:val="0052256A"/>
    <w:rsid w:val="005519DE"/>
    <w:rsid w:val="00664A2F"/>
    <w:rsid w:val="006E1189"/>
    <w:rsid w:val="00727C62"/>
    <w:rsid w:val="0077673D"/>
    <w:rsid w:val="007F5CBA"/>
    <w:rsid w:val="00826BF3"/>
    <w:rsid w:val="008E3941"/>
    <w:rsid w:val="00900980"/>
    <w:rsid w:val="0090417F"/>
    <w:rsid w:val="00926037"/>
    <w:rsid w:val="009B7623"/>
    <w:rsid w:val="00A470B1"/>
    <w:rsid w:val="00A77A6F"/>
    <w:rsid w:val="00B2206A"/>
    <w:rsid w:val="00C92B9A"/>
    <w:rsid w:val="00DB5406"/>
    <w:rsid w:val="00DD0BCA"/>
    <w:rsid w:val="00DE1D3A"/>
    <w:rsid w:val="00E1613F"/>
    <w:rsid w:val="00E1681E"/>
    <w:rsid w:val="00E172B6"/>
    <w:rsid w:val="00E51A6E"/>
    <w:rsid w:val="00E91382"/>
    <w:rsid w:val="00EB092B"/>
    <w:rsid w:val="00EB7A31"/>
    <w:rsid w:val="00EC4806"/>
    <w:rsid w:val="00F610F7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37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37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916D-D510-48F4-913F-E8900F51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dcterms:created xsi:type="dcterms:W3CDTF">2023-10-16T11:44:00Z</dcterms:created>
  <dcterms:modified xsi:type="dcterms:W3CDTF">2023-10-16T11:44:00Z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